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CFEC" w14:textId="5E29126B" w:rsidR="00C00976" w:rsidRPr="00C00976" w:rsidRDefault="00C00976" w:rsidP="00C00976">
      <w:pPr>
        <w:spacing w:before="100" w:beforeAutospacing="1" w:after="100" w:afterAutospacing="1" w:line="360" w:lineRule="atLeast"/>
        <w:rPr>
          <w:rFonts w:ascii="Verdana" w:eastAsia="Times New Roman" w:hAnsi="Verdana" w:cs="Times New Roman"/>
          <w:b/>
          <w:bCs/>
          <w:color w:val="000000"/>
          <w:lang w:eastAsia="en-GB"/>
        </w:rPr>
      </w:pPr>
      <w:r w:rsidRPr="00C00976">
        <w:rPr>
          <w:rFonts w:ascii="Verdana" w:eastAsia="Times New Roman" w:hAnsi="Verdana" w:cs="Times New Roman"/>
          <w:b/>
          <w:bCs/>
          <w:color w:val="000000"/>
          <w:lang w:eastAsia="en-GB"/>
        </w:rPr>
        <w:t>STATUTORY RIGHT TO REPAIR</w:t>
      </w:r>
      <w:bookmarkStart w:id="0" w:name="_GoBack"/>
      <w:bookmarkEnd w:id="0"/>
    </w:p>
    <w:p w14:paraId="23ABF4D5" w14:textId="1348DC3D" w:rsidR="00C00976" w:rsidRPr="00C00976" w:rsidRDefault="00C00976" w:rsidP="00C00976">
      <w:p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These repairs and the maximum timescales within which they should be completed are as follows:</w:t>
      </w:r>
    </w:p>
    <w:tbl>
      <w:tblPr>
        <w:tblW w:w="9210" w:type="dxa"/>
        <w:tblCellSpacing w:w="0" w:type="dxa"/>
        <w:tblCellMar>
          <w:left w:w="0" w:type="dxa"/>
          <w:right w:w="0" w:type="dxa"/>
        </w:tblCellMar>
        <w:tblLook w:val="04A0" w:firstRow="1" w:lastRow="0" w:firstColumn="1" w:lastColumn="0" w:noHBand="0" w:noVBand="1"/>
      </w:tblPr>
      <w:tblGrid>
        <w:gridCol w:w="6798"/>
        <w:gridCol w:w="2412"/>
      </w:tblGrid>
      <w:tr w:rsidR="00C00976" w:rsidRPr="00C00976" w14:paraId="1A2D4C6C" w14:textId="77777777" w:rsidTr="00C00976">
        <w:trPr>
          <w:tblCellSpacing w:w="0" w:type="dxa"/>
        </w:trPr>
        <w:tc>
          <w:tcPr>
            <w:tcW w:w="6810" w:type="dxa"/>
            <w:shd w:val="clear" w:color="auto" w:fill="auto"/>
            <w:tcMar>
              <w:top w:w="0" w:type="dxa"/>
              <w:left w:w="150" w:type="dxa"/>
              <w:bottom w:w="0" w:type="dxa"/>
              <w:right w:w="150" w:type="dxa"/>
            </w:tcMar>
            <w:vAlign w:val="bottom"/>
            <w:hideMark/>
          </w:tcPr>
          <w:p w14:paraId="16DC494D" w14:textId="77777777" w:rsidR="00C00976" w:rsidRPr="00C00976" w:rsidRDefault="00C00976" w:rsidP="00C00976">
            <w:pPr>
              <w:spacing w:after="0" w:line="240" w:lineRule="auto"/>
              <w:rPr>
                <w:rFonts w:ascii="Verdana" w:eastAsia="Times New Roman" w:hAnsi="Verdana" w:cs="Times New Roman"/>
                <w:color w:val="000000"/>
                <w:sz w:val="24"/>
                <w:szCs w:val="24"/>
                <w:lang w:eastAsia="en-GB"/>
              </w:rPr>
            </w:pPr>
            <w:r w:rsidRPr="00C00976">
              <w:rPr>
                <w:rFonts w:ascii="Verdana" w:eastAsia="Times New Roman" w:hAnsi="Verdana" w:cs="Times New Roman"/>
                <w:color w:val="000000"/>
                <w:sz w:val="24"/>
                <w:szCs w:val="24"/>
                <w:lang w:eastAsia="en-GB"/>
              </w:rPr>
              <w:br/>
            </w:r>
            <w:r w:rsidRPr="00C00976">
              <w:rPr>
                <w:rFonts w:ascii="Verdana" w:eastAsia="Times New Roman" w:hAnsi="Verdana" w:cs="Times New Roman"/>
                <w:b/>
                <w:bCs/>
                <w:color w:val="000000"/>
                <w:sz w:val="24"/>
                <w:szCs w:val="24"/>
                <w:lang w:eastAsia="en-GB"/>
              </w:rPr>
              <w:t>Qualifying Repairs under RTR scheme</w:t>
            </w:r>
          </w:p>
        </w:tc>
        <w:tc>
          <w:tcPr>
            <w:tcW w:w="2415" w:type="dxa"/>
            <w:shd w:val="clear" w:color="auto" w:fill="auto"/>
            <w:tcMar>
              <w:top w:w="0" w:type="dxa"/>
              <w:left w:w="150" w:type="dxa"/>
              <w:bottom w:w="0" w:type="dxa"/>
              <w:right w:w="150" w:type="dxa"/>
            </w:tcMar>
            <w:hideMark/>
          </w:tcPr>
          <w:p w14:paraId="1BF4D21C"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b/>
                <w:bCs/>
                <w:color w:val="000000"/>
                <w:sz w:val="19"/>
                <w:szCs w:val="19"/>
                <w:lang w:eastAsia="en-GB"/>
              </w:rPr>
              <w:t>Statutory timescale to complete repair (working days)</w:t>
            </w:r>
          </w:p>
        </w:tc>
      </w:tr>
      <w:tr w:rsidR="00C00976" w:rsidRPr="00C00976" w14:paraId="269327B5" w14:textId="77777777" w:rsidTr="00C00976">
        <w:trPr>
          <w:tblCellSpacing w:w="0" w:type="dxa"/>
        </w:trPr>
        <w:tc>
          <w:tcPr>
            <w:tcW w:w="6810" w:type="dxa"/>
            <w:shd w:val="clear" w:color="auto" w:fill="auto"/>
            <w:tcMar>
              <w:top w:w="0" w:type="dxa"/>
              <w:left w:w="150" w:type="dxa"/>
              <w:bottom w:w="0" w:type="dxa"/>
              <w:right w:w="150" w:type="dxa"/>
            </w:tcMar>
            <w:hideMark/>
          </w:tcPr>
          <w:p w14:paraId="56D99350"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Blocked flue to open fire or boiler</w:t>
            </w:r>
          </w:p>
        </w:tc>
        <w:tc>
          <w:tcPr>
            <w:tcW w:w="2415" w:type="dxa"/>
            <w:shd w:val="clear" w:color="auto" w:fill="auto"/>
            <w:tcMar>
              <w:top w:w="0" w:type="dxa"/>
              <w:left w:w="150" w:type="dxa"/>
              <w:bottom w:w="0" w:type="dxa"/>
              <w:right w:w="150" w:type="dxa"/>
            </w:tcMar>
            <w:hideMark/>
          </w:tcPr>
          <w:p w14:paraId="73F55A39"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1951CAEC" w14:textId="77777777" w:rsidTr="00C00976">
        <w:trPr>
          <w:tblCellSpacing w:w="0" w:type="dxa"/>
        </w:trPr>
        <w:tc>
          <w:tcPr>
            <w:tcW w:w="6810" w:type="dxa"/>
            <w:shd w:val="clear" w:color="auto" w:fill="auto"/>
            <w:tcMar>
              <w:top w:w="0" w:type="dxa"/>
              <w:left w:w="150" w:type="dxa"/>
              <w:bottom w:w="0" w:type="dxa"/>
              <w:right w:w="150" w:type="dxa"/>
            </w:tcMar>
            <w:hideMark/>
          </w:tcPr>
          <w:p w14:paraId="76670CEA"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Blocked or leaking foul drains, soil stack or toilet pan where there is no other toilet in the house</w:t>
            </w:r>
          </w:p>
        </w:tc>
        <w:tc>
          <w:tcPr>
            <w:tcW w:w="2415" w:type="dxa"/>
            <w:shd w:val="clear" w:color="auto" w:fill="auto"/>
            <w:tcMar>
              <w:top w:w="0" w:type="dxa"/>
              <w:left w:w="150" w:type="dxa"/>
              <w:bottom w:w="0" w:type="dxa"/>
              <w:right w:w="150" w:type="dxa"/>
            </w:tcMar>
            <w:hideMark/>
          </w:tcPr>
          <w:p w14:paraId="6A6755C1"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59667FC4" w14:textId="77777777" w:rsidTr="00C00976">
        <w:trPr>
          <w:tblCellSpacing w:w="0" w:type="dxa"/>
        </w:trPr>
        <w:tc>
          <w:tcPr>
            <w:tcW w:w="6810" w:type="dxa"/>
            <w:shd w:val="clear" w:color="auto" w:fill="auto"/>
            <w:tcMar>
              <w:top w:w="0" w:type="dxa"/>
              <w:left w:w="150" w:type="dxa"/>
              <w:bottom w:w="0" w:type="dxa"/>
              <w:right w:w="150" w:type="dxa"/>
            </w:tcMar>
            <w:hideMark/>
          </w:tcPr>
          <w:p w14:paraId="71E2723C"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Blocked sink, bath or drain</w:t>
            </w:r>
          </w:p>
        </w:tc>
        <w:tc>
          <w:tcPr>
            <w:tcW w:w="2415" w:type="dxa"/>
            <w:shd w:val="clear" w:color="auto" w:fill="auto"/>
            <w:tcMar>
              <w:top w:w="0" w:type="dxa"/>
              <w:left w:w="150" w:type="dxa"/>
              <w:bottom w:w="0" w:type="dxa"/>
              <w:right w:w="150" w:type="dxa"/>
            </w:tcMar>
            <w:hideMark/>
          </w:tcPr>
          <w:p w14:paraId="174551F9"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736B306A" w14:textId="77777777" w:rsidTr="00C00976">
        <w:trPr>
          <w:tblCellSpacing w:w="0" w:type="dxa"/>
        </w:trPr>
        <w:tc>
          <w:tcPr>
            <w:tcW w:w="6810" w:type="dxa"/>
            <w:shd w:val="clear" w:color="auto" w:fill="auto"/>
            <w:tcMar>
              <w:top w:w="0" w:type="dxa"/>
              <w:left w:w="150" w:type="dxa"/>
              <w:bottom w:w="0" w:type="dxa"/>
              <w:right w:w="150" w:type="dxa"/>
            </w:tcMar>
            <w:hideMark/>
          </w:tcPr>
          <w:p w14:paraId="4C4078E4"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Loss of electric power</w:t>
            </w:r>
          </w:p>
        </w:tc>
        <w:tc>
          <w:tcPr>
            <w:tcW w:w="2415" w:type="dxa"/>
            <w:shd w:val="clear" w:color="auto" w:fill="auto"/>
            <w:tcMar>
              <w:top w:w="0" w:type="dxa"/>
              <w:left w:w="150" w:type="dxa"/>
              <w:bottom w:w="0" w:type="dxa"/>
              <w:right w:w="150" w:type="dxa"/>
            </w:tcMar>
            <w:hideMark/>
          </w:tcPr>
          <w:p w14:paraId="606A91E0"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74D0BE1C" w14:textId="77777777" w:rsidTr="00C00976">
        <w:trPr>
          <w:tblCellSpacing w:w="0" w:type="dxa"/>
        </w:trPr>
        <w:tc>
          <w:tcPr>
            <w:tcW w:w="6810" w:type="dxa"/>
            <w:shd w:val="clear" w:color="auto" w:fill="auto"/>
            <w:tcMar>
              <w:top w:w="0" w:type="dxa"/>
              <w:left w:w="150" w:type="dxa"/>
              <w:bottom w:w="0" w:type="dxa"/>
              <w:right w:w="150" w:type="dxa"/>
            </w:tcMar>
            <w:hideMark/>
          </w:tcPr>
          <w:p w14:paraId="722D3DE1"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Partial loss of electrical power</w:t>
            </w:r>
          </w:p>
        </w:tc>
        <w:tc>
          <w:tcPr>
            <w:tcW w:w="2415" w:type="dxa"/>
            <w:shd w:val="clear" w:color="auto" w:fill="auto"/>
            <w:tcMar>
              <w:top w:w="0" w:type="dxa"/>
              <w:left w:w="150" w:type="dxa"/>
              <w:bottom w:w="0" w:type="dxa"/>
              <w:right w:w="150" w:type="dxa"/>
            </w:tcMar>
            <w:hideMark/>
          </w:tcPr>
          <w:p w14:paraId="4CABC5D1"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3</w:t>
            </w:r>
          </w:p>
        </w:tc>
      </w:tr>
      <w:tr w:rsidR="00C00976" w:rsidRPr="00C00976" w14:paraId="32A3AF14" w14:textId="77777777" w:rsidTr="00C00976">
        <w:trPr>
          <w:tblCellSpacing w:w="0" w:type="dxa"/>
        </w:trPr>
        <w:tc>
          <w:tcPr>
            <w:tcW w:w="6810" w:type="dxa"/>
            <w:shd w:val="clear" w:color="auto" w:fill="auto"/>
            <w:tcMar>
              <w:top w:w="0" w:type="dxa"/>
              <w:left w:w="150" w:type="dxa"/>
              <w:bottom w:w="0" w:type="dxa"/>
              <w:right w:w="150" w:type="dxa"/>
            </w:tcMar>
            <w:hideMark/>
          </w:tcPr>
          <w:p w14:paraId="071A3A8D"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Insecure external window, door or lock</w:t>
            </w:r>
          </w:p>
        </w:tc>
        <w:tc>
          <w:tcPr>
            <w:tcW w:w="2415" w:type="dxa"/>
            <w:shd w:val="clear" w:color="auto" w:fill="auto"/>
            <w:tcMar>
              <w:top w:w="0" w:type="dxa"/>
              <w:left w:w="150" w:type="dxa"/>
              <w:bottom w:w="0" w:type="dxa"/>
              <w:right w:w="150" w:type="dxa"/>
            </w:tcMar>
            <w:hideMark/>
          </w:tcPr>
          <w:p w14:paraId="1444E8CD"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16DE3A2B" w14:textId="77777777" w:rsidTr="00C00976">
        <w:trPr>
          <w:tblCellSpacing w:w="0" w:type="dxa"/>
        </w:trPr>
        <w:tc>
          <w:tcPr>
            <w:tcW w:w="6810" w:type="dxa"/>
            <w:shd w:val="clear" w:color="auto" w:fill="auto"/>
            <w:tcMar>
              <w:top w:w="0" w:type="dxa"/>
              <w:left w:w="150" w:type="dxa"/>
              <w:bottom w:w="0" w:type="dxa"/>
              <w:right w:w="150" w:type="dxa"/>
            </w:tcMar>
            <w:hideMark/>
          </w:tcPr>
          <w:p w14:paraId="4C806B5B"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Unsafe access path/step</w:t>
            </w:r>
          </w:p>
        </w:tc>
        <w:tc>
          <w:tcPr>
            <w:tcW w:w="2415" w:type="dxa"/>
            <w:shd w:val="clear" w:color="auto" w:fill="auto"/>
            <w:tcMar>
              <w:top w:w="0" w:type="dxa"/>
              <w:left w:w="150" w:type="dxa"/>
              <w:bottom w:w="0" w:type="dxa"/>
              <w:right w:w="150" w:type="dxa"/>
            </w:tcMar>
            <w:hideMark/>
          </w:tcPr>
          <w:p w14:paraId="75A35AC5"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6F45AAD3" w14:textId="77777777" w:rsidTr="00C00976">
        <w:trPr>
          <w:tblCellSpacing w:w="0" w:type="dxa"/>
        </w:trPr>
        <w:tc>
          <w:tcPr>
            <w:tcW w:w="6810" w:type="dxa"/>
            <w:shd w:val="clear" w:color="auto" w:fill="auto"/>
            <w:tcMar>
              <w:top w:w="0" w:type="dxa"/>
              <w:left w:w="150" w:type="dxa"/>
              <w:bottom w:w="0" w:type="dxa"/>
              <w:right w:w="150" w:type="dxa"/>
            </w:tcMar>
            <w:hideMark/>
          </w:tcPr>
          <w:p w14:paraId="666A4E2C"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Leaks or flooding from water or heating pipes, tanks, cisterns</w:t>
            </w:r>
          </w:p>
        </w:tc>
        <w:tc>
          <w:tcPr>
            <w:tcW w:w="2415" w:type="dxa"/>
            <w:shd w:val="clear" w:color="auto" w:fill="auto"/>
            <w:tcMar>
              <w:top w:w="0" w:type="dxa"/>
              <w:left w:w="150" w:type="dxa"/>
              <w:bottom w:w="0" w:type="dxa"/>
              <w:right w:w="150" w:type="dxa"/>
            </w:tcMar>
            <w:hideMark/>
          </w:tcPr>
          <w:p w14:paraId="1745E3ED"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152DD256" w14:textId="77777777" w:rsidTr="00C00976">
        <w:trPr>
          <w:tblCellSpacing w:w="0" w:type="dxa"/>
        </w:trPr>
        <w:tc>
          <w:tcPr>
            <w:tcW w:w="6810" w:type="dxa"/>
            <w:shd w:val="clear" w:color="auto" w:fill="auto"/>
            <w:tcMar>
              <w:top w:w="0" w:type="dxa"/>
              <w:left w:w="150" w:type="dxa"/>
              <w:bottom w:w="0" w:type="dxa"/>
              <w:right w:w="150" w:type="dxa"/>
            </w:tcMar>
            <w:hideMark/>
          </w:tcPr>
          <w:p w14:paraId="5EB7558A"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Loss or partial loss of gas supply</w:t>
            </w:r>
          </w:p>
        </w:tc>
        <w:tc>
          <w:tcPr>
            <w:tcW w:w="2415" w:type="dxa"/>
            <w:shd w:val="clear" w:color="auto" w:fill="auto"/>
            <w:tcMar>
              <w:top w:w="0" w:type="dxa"/>
              <w:left w:w="150" w:type="dxa"/>
              <w:bottom w:w="0" w:type="dxa"/>
              <w:right w:w="150" w:type="dxa"/>
            </w:tcMar>
            <w:hideMark/>
          </w:tcPr>
          <w:p w14:paraId="3A5976C2"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73C9FCE0" w14:textId="77777777" w:rsidTr="00C00976">
        <w:trPr>
          <w:tblCellSpacing w:w="0" w:type="dxa"/>
        </w:trPr>
        <w:tc>
          <w:tcPr>
            <w:tcW w:w="6810" w:type="dxa"/>
            <w:shd w:val="clear" w:color="auto" w:fill="auto"/>
            <w:tcMar>
              <w:top w:w="0" w:type="dxa"/>
              <w:left w:w="150" w:type="dxa"/>
              <w:bottom w:w="0" w:type="dxa"/>
              <w:right w:w="150" w:type="dxa"/>
            </w:tcMar>
            <w:hideMark/>
          </w:tcPr>
          <w:p w14:paraId="19EAE943"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Loss or partial loss of space or water heating where no alternative heating is available</w:t>
            </w:r>
          </w:p>
        </w:tc>
        <w:tc>
          <w:tcPr>
            <w:tcW w:w="2415" w:type="dxa"/>
            <w:shd w:val="clear" w:color="auto" w:fill="auto"/>
            <w:tcMar>
              <w:top w:w="0" w:type="dxa"/>
              <w:left w:w="150" w:type="dxa"/>
              <w:bottom w:w="0" w:type="dxa"/>
              <w:right w:w="150" w:type="dxa"/>
            </w:tcMar>
            <w:hideMark/>
          </w:tcPr>
          <w:p w14:paraId="640375C5"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0B74AA6D" w14:textId="77777777" w:rsidTr="00C00976">
        <w:trPr>
          <w:tblCellSpacing w:w="0" w:type="dxa"/>
        </w:trPr>
        <w:tc>
          <w:tcPr>
            <w:tcW w:w="6810" w:type="dxa"/>
            <w:shd w:val="clear" w:color="auto" w:fill="auto"/>
            <w:tcMar>
              <w:top w:w="0" w:type="dxa"/>
              <w:left w:w="150" w:type="dxa"/>
              <w:bottom w:w="0" w:type="dxa"/>
              <w:right w:w="150" w:type="dxa"/>
            </w:tcMar>
            <w:hideMark/>
          </w:tcPr>
          <w:p w14:paraId="26F71650"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Toilet not flushing where there is no other toilet in the house</w:t>
            </w:r>
          </w:p>
        </w:tc>
        <w:tc>
          <w:tcPr>
            <w:tcW w:w="2415" w:type="dxa"/>
            <w:shd w:val="clear" w:color="auto" w:fill="auto"/>
            <w:tcMar>
              <w:top w:w="0" w:type="dxa"/>
              <w:left w:w="150" w:type="dxa"/>
              <w:bottom w:w="0" w:type="dxa"/>
              <w:right w:w="150" w:type="dxa"/>
            </w:tcMar>
            <w:hideMark/>
          </w:tcPr>
          <w:p w14:paraId="701FB521"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13822F9E" w14:textId="77777777" w:rsidTr="00C00976">
        <w:trPr>
          <w:tblCellSpacing w:w="0" w:type="dxa"/>
        </w:trPr>
        <w:tc>
          <w:tcPr>
            <w:tcW w:w="6810" w:type="dxa"/>
            <w:shd w:val="clear" w:color="auto" w:fill="auto"/>
            <w:tcMar>
              <w:top w:w="0" w:type="dxa"/>
              <w:left w:w="150" w:type="dxa"/>
              <w:bottom w:w="0" w:type="dxa"/>
              <w:right w:w="150" w:type="dxa"/>
            </w:tcMar>
            <w:hideMark/>
          </w:tcPr>
          <w:p w14:paraId="15BADFC2"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Unsafe power or lighting socket, or electrical fitting</w:t>
            </w:r>
          </w:p>
        </w:tc>
        <w:tc>
          <w:tcPr>
            <w:tcW w:w="2415" w:type="dxa"/>
            <w:shd w:val="clear" w:color="auto" w:fill="auto"/>
            <w:tcMar>
              <w:top w:w="0" w:type="dxa"/>
              <w:left w:w="150" w:type="dxa"/>
              <w:bottom w:w="0" w:type="dxa"/>
              <w:right w:w="150" w:type="dxa"/>
            </w:tcMar>
            <w:hideMark/>
          </w:tcPr>
          <w:p w14:paraId="3D26C5E1"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10960BC6" w14:textId="77777777" w:rsidTr="00C00976">
        <w:trPr>
          <w:tblCellSpacing w:w="0" w:type="dxa"/>
        </w:trPr>
        <w:tc>
          <w:tcPr>
            <w:tcW w:w="6810" w:type="dxa"/>
            <w:shd w:val="clear" w:color="auto" w:fill="auto"/>
            <w:tcMar>
              <w:top w:w="0" w:type="dxa"/>
              <w:left w:w="150" w:type="dxa"/>
              <w:bottom w:w="0" w:type="dxa"/>
              <w:right w:w="150" w:type="dxa"/>
            </w:tcMar>
            <w:hideMark/>
          </w:tcPr>
          <w:p w14:paraId="046982F0"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Loss of water supply</w:t>
            </w:r>
          </w:p>
        </w:tc>
        <w:tc>
          <w:tcPr>
            <w:tcW w:w="2415" w:type="dxa"/>
            <w:shd w:val="clear" w:color="auto" w:fill="auto"/>
            <w:tcMar>
              <w:top w:w="0" w:type="dxa"/>
              <w:left w:w="150" w:type="dxa"/>
              <w:bottom w:w="0" w:type="dxa"/>
              <w:right w:w="150" w:type="dxa"/>
            </w:tcMar>
            <w:hideMark/>
          </w:tcPr>
          <w:p w14:paraId="5ED0F00D"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1</w:t>
            </w:r>
          </w:p>
        </w:tc>
      </w:tr>
      <w:tr w:rsidR="00C00976" w:rsidRPr="00C00976" w14:paraId="5E9F4393" w14:textId="77777777" w:rsidTr="00C00976">
        <w:trPr>
          <w:tblCellSpacing w:w="0" w:type="dxa"/>
        </w:trPr>
        <w:tc>
          <w:tcPr>
            <w:tcW w:w="6810" w:type="dxa"/>
            <w:shd w:val="clear" w:color="auto" w:fill="auto"/>
            <w:tcMar>
              <w:top w:w="0" w:type="dxa"/>
              <w:left w:w="150" w:type="dxa"/>
              <w:bottom w:w="0" w:type="dxa"/>
              <w:right w:w="150" w:type="dxa"/>
            </w:tcMar>
            <w:hideMark/>
          </w:tcPr>
          <w:p w14:paraId="674E77BB"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Partial loss of water supply</w:t>
            </w:r>
          </w:p>
        </w:tc>
        <w:tc>
          <w:tcPr>
            <w:tcW w:w="2415" w:type="dxa"/>
            <w:shd w:val="clear" w:color="auto" w:fill="auto"/>
            <w:tcMar>
              <w:top w:w="0" w:type="dxa"/>
              <w:left w:w="150" w:type="dxa"/>
              <w:bottom w:w="0" w:type="dxa"/>
              <w:right w:w="150" w:type="dxa"/>
            </w:tcMar>
            <w:hideMark/>
          </w:tcPr>
          <w:p w14:paraId="485421BE"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3</w:t>
            </w:r>
          </w:p>
        </w:tc>
      </w:tr>
      <w:tr w:rsidR="00C00976" w:rsidRPr="00C00976" w14:paraId="37F211AA" w14:textId="77777777" w:rsidTr="00C00976">
        <w:trPr>
          <w:tblCellSpacing w:w="0" w:type="dxa"/>
        </w:trPr>
        <w:tc>
          <w:tcPr>
            <w:tcW w:w="6810" w:type="dxa"/>
            <w:shd w:val="clear" w:color="auto" w:fill="auto"/>
            <w:tcMar>
              <w:top w:w="0" w:type="dxa"/>
              <w:left w:w="150" w:type="dxa"/>
              <w:bottom w:w="0" w:type="dxa"/>
              <w:right w:w="150" w:type="dxa"/>
            </w:tcMar>
            <w:hideMark/>
          </w:tcPr>
          <w:p w14:paraId="1EF0382B"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 xml:space="preserve">Loose or detached banister or </w:t>
            </w:r>
            <w:proofErr w:type="gramStart"/>
            <w:r w:rsidRPr="00C00976">
              <w:rPr>
                <w:rFonts w:ascii="Verdana" w:eastAsia="Times New Roman" w:hAnsi="Verdana" w:cs="Times New Roman"/>
                <w:color w:val="000000"/>
                <w:sz w:val="19"/>
                <w:szCs w:val="19"/>
                <w:lang w:eastAsia="en-GB"/>
              </w:rPr>
              <w:t>hand rail</w:t>
            </w:r>
            <w:proofErr w:type="gramEnd"/>
          </w:p>
        </w:tc>
        <w:tc>
          <w:tcPr>
            <w:tcW w:w="2415" w:type="dxa"/>
            <w:shd w:val="clear" w:color="auto" w:fill="auto"/>
            <w:tcMar>
              <w:top w:w="0" w:type="dxa"/>
              <w:left w:w="150" w:type="dxa"/>
              <w:bottom w:w="0" w:type="dxa"/>
              <w:right w:w="150" w:type="dxa"/>
            </w:tcMar>
            <w:hideMark/>
          </w:tcPr>
          <w:p w14:paraId="00A79454"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3</w:t>
            </w:r>
          </w:p>
        </w:tc>
      </w:tr>
      <w:tr w:rsidR="00C00976" w:rsidRPr="00C00976" w14:paraId="1C8317B6" w14:textId="77777777" w:rsidTr="00C00976">
        <w:trPr>
          <w:tblCellSpacing w:w="0" w:type="dxa"/>
        </w:trPr>
        <w:tc>
          <w:tcPr>
            <w:tcW w:w="6810" w:type="dxa"/>
            <w:shd w:val="clear" w:color="auto" w:fill="auto"/>
            <w:tcMar>
              <w:top w:w="0" w:type="dxa"/>
              <w:left w:w="150" w:type="dxa"/>
              <w:bottom w:w="0" w:type="dxa"/>
              <w:right w:w="150" w:type="dxa"/>
            </w:tcMar>
            <w:hideMark/>
          </w:tcPr>
          <w:p w14:paraId="5C9C749C"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Unsafe timber flooring or stair treads</w:t>
            </w:r>
          </w:p>
        </w:tc>
        <w:tc>
          <w:tcPr>
            <w:tcW w:w="2415" w:type="dxa"/>
            <w:shd w:val="clear" w:color="auto" w:fill="auto"/>
            <w:tcMar>
              <w:top w:w="0" w:type="dxa"/>
              <w:left w:w="150" w:type="dxa"/>
              <w:bottom w:w="0" w:type="dxa"/>
              <w:right w:w="150" w:type="dxa"/>
            </w:tcMar>
            <w:hideMark/>
          </w:tcPr>
          <w:p w14:paraId="79325F68"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3</w:t>
            </w:r>
          </w:p>
        </w:tc>
      </w:tr>
      <w:tr w:rsidR="00C00976" w:rsidRPr="00C00976" w14:paraId="5C711901" w14:textId="77777777" w:rsidTr="00C00976">
        <w:trPr>
          <w:tblCellSpacing w:w="0" w:type="dxa"/>
        </w:trPr>
        <w:tc>
          <w:tcPr>
            <w:tcW w:w="6810" w:type="dxa"/>
            <w:shd w:val="clear" w:color="auto" w:fill="auto"/>
            <w:tcMar>
              <w:top w:w="0" w:type="dxa"/>
              <w:left w:w="150" w:type="dxa"/>
              <w:bottom w:w="0" w:type="dxa"/>
              <w:right w:w="150" w:type="dxa"/>
            </w:tcMar>
            <w:hideMark/>
          </w:tcPr>
          <w:p w14:paraId="6C316F91" w14:textId="77777777" w:rsidR="00C00976" w:rsidRPr="00C00976" w:rsidRDefault="00C00976" w:rsidP="00C00976">
            <w:pPr>
              <w:spacing w:before="100" w:beforeAutospacing="1" w:after="100" w:afterAutospacing="1" w:line="240" w:lineRule="auto"/>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Mechanical extractor fan in internal kitchen or internal bathroom not working</w:t>
            </w:r>
          </w:p>
        </w:tc>
        <w:tc>
          <w:tcPr>
            <w:tcW w:w="2415" w:type="dxa"/>
            <w:shd w:val="clear" w:color="auto" w:fill="auto"/>
            <w:tcMar>
              <w:top w:w="0" w:type="dxa"/>
              <w:left w:w="150" w:type="dxa"/>
              <w:bottom w:w="0" w:type="dxa"/>
              <w:right w:w="150" w:type="dxa"/>
            </w:tcMar>
            <w:hideMark/>
          </w:tcPr>
          <w:p w14:paraId="3F91EE55" w14:textId="77777777" w:rsidR="00C00976" w:rsidRPr="00C00976" w:rsidRDefault="00C00976" w:rsidP="00C00976">
            <w:pPr>
              <w:spacing w:before="100" w:beforeAutospacing="1" w:after="100" w:afterAutospacing="1" w:line="240" w:lineRule="auto"/>
              <w:jc w:val="center"/>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7</w:t>
            </w:r>
          </w:p>
        </w:tc>
      </w:tr>
    </w:tbl>
    <w:p w14:paraId="79D92B4E" w14:textId="77777777" w:rsidR="00C00976" w:rsidRPr="00C00976" w:rsidRDefault="00C00976" w:rsidP="00C00976">
      <w:p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When you report a repair, we will inform you if it is a qualifying repair. If a repair qualifies under the scheme the association will:</w:t>
      </w:r>
    </w:p>
    <w:p w14:paraId="1B5F376A" w14:textId="77777777" w:rsidR="00C00976" w:rsidRPr="00C00976" w:rsidRDefault="00C00976" w:rsidP="00C00976">
      <w:pPr>
        <w:numPr>
          <w:ilvl w:val="0"/>
          <w:numId w:val="1"/>
        </w:num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 xml:space="preserve">Tell you how long we </w:t>
      </w:r>
      <w:proofErr w:type="gramStart"/>
      <w:r w:rsidRPr="00C00976">
        <w:rPr>
          <w:rFonts w:ascii="Verdana" w:eastAsia="Times New Roman" w:hAnsi="Verdana" w:cs="Times New Roman"/>
          <w:color w:val="000000"/>
          <w:sz w:val="19"/>
          <w:szCs w:val="19"/>
          <w:lang w:eastAsia="en-GB"/>
        </w:rPr>
        <w:t>have to</w:t>
      </w:r>
      <w:proofErr w:type="gramEnd"/>
      <w:r w:rsidRPr="00C00976">
        <w:rPr>
          <w:rFonts w:ascii="Verdana" w:eastAsia="Times New Roman" w:hAnsi="Verdana" w:cs="Times New Roman"/>
          <w:color w:val="000000"/>
          <w:sz w:val="19"/>
          <w:szCs w:val="19"/>
          <w:lang w:eastAsia="en-GB"/>
        </w:rPr>
        <w:t xml:space="preserve"> carry out the repair</w:t>
      </w:r>
    </w:p>
    <w:p w14:paraId="2EDD9C86" w14:textId="77777777" w:rsidR="00C00976" w:rsidRPr="00C00976" w:rsidRDefault="00C00976" w:rsidP="00C00976">
      <w:pPr>
        <w:numPr>
          <w:ilvl w:val="0"/>
          <w:numId w:val="1"/>
        </w:num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Explain the rights under the scheme</w:t>
      </w:r>
    </w:p>
    <w:p w14:paraId="06CA914E" w14:textId="77777777" w:rsidR="00C00976" w:rsidRPr="00C00976" w:rsidRDefault="00C00976" w:rsidP="00C00976">
      <w:pPr>
        <w:numPr>
          <w:ilvl w:val="0"/>
          <w:numId w:val="1"/>
        </w:numPr>
        <w:spacing w:before="100" w:beforeAutospacing="1" w:after="100" w:afterAutospacing="1" w:line="360" w:lineRule="atLeast"/>
        <w:rPr>
          <w:rFonts w:ascii="Verdana" w:eastAsia="Times New Roman" w:hAnsi="Verdana" w:cs="Times New Roman"/>
          <w:color w:val="000000"/>
          <w:sz w:val="19"/>
          <w:szCs w:val="19"/>
          <w:lang w:eastAsia="en-GB"/>
        </w:rPr>
      </w:pPr>
      <w:proofErr w:type="gramStart"/>
      <w:r w:rsidRPr="00C00976">
        <w:rPr>
          <w:rFonts w:ascii="Verdana" w:eastAsia="Times New Roman" w:hAnsi="Verdana" w:cs="Times New Roman"/>
          <w:color w:val="000000"/>
          <w:sz w:val="19"/>
          <w:szCs w:val="19"/>
          <w:lang w:eastAsia="en-GB"/>
        </w:rPr>
        <w:t>Make arrangements</w:t>
      </w:r>
      <w:proofErr w:type="gramEnd"/>
      <w:r w:rsidRPr="00C00976">
        <w:rPr>
          <w:rFonts w:ascii="Verdana" w:eastAsia="Times New Roman" w:hAnsi="Verdana" w:cs="Times New Roman"/>
          <w:color w:val="000000"/>
          <w:sz w:val="19"/>
          <w:szCs w:val="19"/>
          <w:lang w:eastAsia="en-GB"/>
        </w:rPr>
        <w:t xml:space="preserve"> for access</w:t>
      </w:r>
    </w:p>
    <w:p w14:paraId="243521E6" w14:textId="77777777" w:rsidR="00C00976" w:rsidRPr="00C00976" w:rsidRDefault="00C00976" w:rsidP="00C00976">
      <w:p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If our usual contractor has not started the repair within the set time you have the right to either:</w:t>
      </w:r>
    </w:p>
    <w:p w14:paraId="25622FC0" w14:textId="77777777" w:rsidR="00C00976" w:rsidRPr="00C00976" w:rsidRDefault="00C00976" w:rsidP="00C00976">
      <w:pPr>
        <w:numPr>
          <w:ilvl w:val="0"/>
          <w:numId w:val="2"/>
        </w:num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Instruct another contractor from the association’s approved list to carry out the work up to a maximum value of £350 and/or;</w:t>
      </w:r>
    </w:p>
    <w:p w14:paraId="42CE9F42" w14:textId="77777777" w:rsidR="00C00976" w:rsidRPr="00C00976" w:rsidRDefault="00C00976" w:rsidP="00C00976">
      <w:pPr>
        <w:numPr>
          <w:ilvl w:val="0"/>
          <w:numId w:val="2"/>
        </w:num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color w:val="000000"/>
          <w:sz w:val="19"/>
          <w:szCs w:val="19"/>
          <w:lang w:eastAsia="en-GB"/>
        </w:rPr>
        <w:t>Receive compensation from the association up to a maximum of £100</w:t>
      </w:r>
    </w:p>
    <w:p w14:paraId="0BC07DE6" w14:textId="77777777" w:rsidR="00C00976" w:rsidRPr="00C00976" w:rsidRDefault="00C00976" w:rsidP="00C00976">
      <w:pPr>
        <w:spacing w:before="100" w:beforeAutospacing="1" w:after="100" w:afterAutospacing="1" w:line="360" w:lineRule="atLeast"/>
        <w:rPr>
          <w:rFonts w:ascii="Verdana" w:eastAsia="Times New Roman" w:hAnsi="Verdana" w:cs="Times New Roman"/>
          <w:color w:val="000000"/>
          <w:sz w:val="19"/>
          <w:szCs w:val="19"/>
          <w:lang w:eastAsia="en-GB"/>
        </w:rPr>
      </w:pPr>
      <w:r w:rsidRPr="00C00976">
        <w:rPr>
          <w:rFonts w:ascii="Verdana" w:eastAsia="Times New Roman" w:hAnsi="Verdana" w:cs="Times New Roman"/>
          <w:b/>
          <w:bCs/>
          <w:color w:val="000000"/>
          <w:sz w:val="19"/>
          <w:szCs w:val="19"/>
          <w:lang w:eastAsia="en-GB"/>
        </w:rPr>
        <w:t>PLEASE NOTE:</w:t>
      </w:r>
      <w:r w:rsidRPr="00C00976">
        <w:rPr>
          <w:rFonts w:ascii="Verdana" w:eastAsia="Times New Roman" w:hAnsi="Verdana" w:cs="Times New Roman"/>
          <w:color w:val="000000"/>
          <w:sz w:val="19"/>
          <w:szCs w:val="19"/>
          <w:lang w:eastAsia="en-GB"/>
        </w:rPr>
        <w:t xml:space="preserve"> The Right to Repair does not apply if access has not been made available or there are exceptional circumstances out with the control of the association making it impossible to complete the repair within the maximum timescale.</w:t>
      </w:r>
    </w:p>
    <w:p w14:paraId="24ADA94C" w14:textId="77777777" w:rsidR="00C267A1" w:rsidRDefault="00C267A1"/>
    <w:sectPr w:rsidR="00C26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608D1"/>
    <w:multiLevelType w:val="multilevel"/>
    <w:tmpl w:val="E1A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34036"/>
    <w:multiLevelType w:val="multilevel"/>
    <w:tmpl w:val="2178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76"/>
    <w:rsid w:val="00C00976"/>
    <w:rsid w:val="00C2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C10F"/>
  <w15:chartTrackingRefBased/>
  <w15:docId w15:val="{029790BF-655C-4194-BA50-F61ABC15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00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6231">
      <w:bodyDiv w:val="1"/>
      <w:marLeft w:val="0"/>
      <w:marRight w:val="0"/>
      <w:marTop w:val="0"/>
      <w:marBottom w:val="0"/>
      <w:divBdr>
        <w:top w:val="none" w:sz="0" w:space="0" w:color="auto"/>
        <w:left w:val="none" w:sz="0" w:space="0" w:color="auto"/>
        <w:bottom w:val="none" w:sz="0" w:space="0" w:color="auto"/>
        <w:right w:val="none" w:sz="0" w:space="0" w:color="auto"/>
      </w:divBdr>
      <w:divsChild>
        <w:div w:id="874267347">
          <w:marLeft w:val="0"/>
          <w:marRight w:val="0"/>
          <w:marTop w:val="0"/>
          <w:marBottom w:val="0"/>
          <w:divBdr>
            <w:top w:val="none" w:sz="0" w:space="0" w:color="auto"/>
            <w:left w:val="none" w:sz="0" w:space="0" w:color="auto"/>
            <w:bottom w:val="none" w:sz="0" w:space="0" w:color="auto"/>
            <w:right w:val="none" w:sz="0" w:space="0" w:color="auto"/>
          </w:divBdr>
          <w:divsChild>
            <w:div w:id="17422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McDaid</dc:creator>
  <cp:keywords/>
  <dc:description/>
  <cp:lastModifiedBy>Pauline McDaid</cp:lastModifiedBy>
  <cp:revision>1</cp:revision>
  <dcterms:created xsi:type="dcterms:W3CDTF">2019-06-28T11:17:00Z</dcterms:created>
  <dcterms:modified xsi:type="dcterms:W3CDTF">2019-06-28T11:18:00Z</dcterms:modified>
</cp:coreProperties>
</file>